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4D83" w14:textId="77777777" w:rsidR="00676B7D" w:rsidRDefault="00000000">
      <w:pPr>
        <w:pStyle w:val="BodyA"/>
        <w:jc w:val="right"/>
      </w:pPr>
      <w:r>
        <w:rPr>
          <w:noProof/>
        </w:rPr>
        <w:drawing>
          <wp:inline distT="0" distB="0" distL="0" distR="0" wp14:anchorId="1D1C4329" wp14:editId="6049386F">
            <wp:extent cx="2413000" cy="889000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889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15F8703" w14:textId="77777777" w:rsidR="00676B7D" w:rsidRDefault="00676B7D">
      <w:pPr>
        <w:pStyle w:val="BodyA"/>
        <w:jc w:val="right"/>
      </w:pPr>
    </w:p>
    <w:p w14:paraId="08CB5190" w14:textId="77777777" w:rsidR="00676B7D" w:rsidRDefault="00000000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Harassment Policy</w:t>
      </w:r>
    </w:p>
    <w:p w14:paraId="7B04C21F" w14:textId="77777777" w:rsidR="00676B7D" w:rsidRDefault="00000000">
      <w:pPr>
        <w:pStyle w:val="BodyA"/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March 2022</w:t>
      </w:r>
    </w:p>
    <w:p w14:paraId="0098240A" w14:textId="77777777" w:rsidR="00676B7D" w:rsidRDefault="00000000">
      <w:pPr>
        <w:pStyle w:val="BodyA"/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Revision Date Mach 2025</w:t>
      </w:r>
    </w:p>
    <w:p w14:paraId="67AB4203" w14:textId="77777777" w:rsidR="00676B7D" w:rsidRDefault="00676B7D">
      <w:pPr>
        <w:pStyle w:val="BodyA"/>
        <w:jc w:val="right"/>
        <w:rPr>
          <w:sz w:val="24"/>
          <w:szCs w:val="24"/>
          <w:lang w:val="en-US"/>
        </w:rPr>
      </w:pPr>
    </w:p>
    <w:p w14:paraId="301057A4" w14:textId="77777777" w:rsidR="00676B7D" w:rsidRDefault="00000000">
      <w:pPr>
        <w:pStyle w:val="Body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Policy Statement</w:t>
      </w:r>
    </w:p>
    <w:p w14:paraId="7DFEF8C1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3999FD93" w14:textId="2D67CE01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The Bradford Police Museum takes all reasonably practicable steps to safeguard the welfare of the </w:t>
      </w:r>
      <w:r>
        <w:rPr>
          <w:sz w:val="24"/>
          <w:szCs w:val="24"/>
          <w:u w:color="FF0000"/>
          <w:lang w:val="en-US"/>
        </w:rPr>
        <w:t>volunteers, employees, contractors, visitors and users of the museum</w:t>
      </w:r>
      <w:r>
        <w:rPr>
          <w:color w:val="FF0000"/>
          <w:sz w:val="24"/>
          <w:szCs w:val="24"/>
          <w:u w:color="FF0000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to try to ensure a working environment free from any harassment. The Bradford Police Museum is committed to </w:t>
      </w:r>
      <w:proofErr w:type="spellStart"/>
      <w:r>
        <w:rPr>
          <w:sz w:val="24"/>
          <w:szCs w:val="24"/>
          <w:lang w:val="en-US"/>
        </w:rPr>
        <w:t>it’s</w:t>
      </w:r>
      <w:proofErr w:type="spellEnd"/>
      <w:r>
        <w:rPr>
          <w:sz w:val="24"/>
          <w:szCs w:val="24"/>
          <w:lang w:val="en-US"/>
        </w:rPr>
        <w:t xml:space="preserve"> Equal Opportunities Policy.  It is therefore particularly important to recognise and take steps to deal with any racist, </w:t>
      </w:r>
      <w:r w:rsidR="00971055">
        <w:rPr>
          <w:sz w:val="24"/>
          <w:szCs w:val="24"/>
          <w:lang w:val="en-US"/>
        </w:rPr>
        <w:t>sexist</w:t>
      </w:r>
      <w:r>
        <w:rPr>
          <w:sz w:val="24"/>
          <w:szCs w:val="24"/>
          <w:lang w:val="en-US"/>
        </w:rPr>
        <w:t xml:space="preserve">, homophobic, transphobic, and disability, religious or other harassment towards </w:t>
      </w:r>
      <w:r>
        <w:rPr>
          <w:sz w:val="24"/>
          <w:szCs w:val="24"/>
          <w:u w:color="FF0000"/>
          <w:lang w:val="en-US"/>
        </w:rPr>
        <w:t>volunteers, employees, visitors and service users.</w:t>
      </w:r>
      <w:r>
        <w:rPr>
          <w:sz w:val="24"/>
          <w:szCs w:val="24"/>
          <w:lang w:val="en-US"/>
        </w:rPr>
        <w:t xml:space="preserve"> </w:t>
      </w:r>
    </w:p>
    <w:p w14:paraId="63A1B4CF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4DA2632F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Incidents of this nature completely undermine the objectives of equality in the workplace.  It is equally important that </w:t>
      </w:r>
      <w:r>
        <w:rPr>
          <w:sz w:val="24"/>
          <w:szCs w:val="24"/>
          <w:u w:color="FF0000"/>
          <w:lang w:val="en-US"/>
        </w:rPr>
        <w:t>everyone is able to work or visit the museum</w:t>
      </w:r>
      <w:r>
        <w:rPr>
          <w:sz w:val="24"/>
          <w:szCs w:val="24"/>
          <w:lang w:val="en-US"/>
        </w:rPr>
        <w:t xml:space="preserve"> in an atmosphere free from the threat of harassment, either from staff or from other users of the service.</w:t>
      </w:r>
    </w:p>
    <w:p w14:paraId="69C3D0D2" w14:textId="77777777" w:rsidR="00676B7D" w:rsidRDefault="00676B7D">
      <w:pPr>
        <w:pStyle w:val="BodyA"/>
        <w:jc w:val="both"/>
        <w:rPr>
          <w:sz w:val="20"/>
          <w:szCs w:val="20"/>
        </w:rPr>
      </w:pPr>
    </w:p>
    <w:p w14:paraId="182F04D3" w14:textId="5D0C55EA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Any harassment, which cannot be labelled as </w:t>
      </w:r>
      <w:r w:rsidR="00971055">
        <w:rPr>
          <w:sz w:val="24"/>
          <w:szCs w:val="24"/>
          <w:lang w:val="en-US"/>
        </w:rPr>
        <w:t>sexist</w:t>
      </w:r>
      <w:r>
        <w:rPr>
          <w:sz w:val="24"/>
          <w:szCs w:val="24"/>
          <w:lang w:val="en-US"/>
        </w:rPr>
        <w:t xml:space="preserve">, homophobic, transphobic, religious or racist but is, nonetheless, offensive is not appropriate professional </w:t>
      </w:r>
      <w:proofErr w:type="spellStart"/>
      <w:r>
        <w:rPr>
          <w:sz w:val="24"/>
          <w:szCs w:val="24"/>
          <w:lang w:val="en-US"/>
        </w:rPr>
        <w:t>behaviour</w:t>
      </w:r>
      <w:proofErr w:type="spellEnd"/>
      <w:r>
        <w:rPr>
          <w:sz w:val="24"/>
          <w:szCs w:val="24"/>
          <w:lang w:val="en-US"/>
        </w:rPr>
        <w:t xml:space="preserve">. </w:t>
      </w:r>
    </w:p>
    <w:p w14:paraId="5ED8C1C8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3C8EF929" w14:textId="77777777" w:rsidR="00676B7D" w:rsidRDefault="00000000">
      <w:pPr>
        <w:pStyle w:val="Body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Legislation</w:t>
      </w:r>
    </w:p>
    <w:p w14:paraId="53F97C20" w14:textId="77777777" w:rsidR="00676B7D" w:rsidRDefault="00676B7D">
      <w:pPr>
        <w:pStyle w:val="BodyA"/>
        <w:jc w:val="both"/>
        <w:rPr>
          <w:b/>
          <w:bCs/>
          <w:sz w:val="24"/>
          <w:szCs w:val="24"/>
          <w:lang w:val="en-US"/>
        </w:rPr>
      </w:pPr>
    </w:p>
    <w:p w14:paraId="251BB67C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The policy reflects the museum’s legal requirements to comply with the Equality Act 2010 and any subsequent amendments either since the enactment or in the future.</w:t>
      </w:r>
    </w:p>
    <w:p w14:paraId="33348B3D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01CE74FC" w14:textId="77777777" w:rsidR="00676B7D" w:rsidRDefault="00000000">
      <w:pPr>
        <w:pStyle w:val="Body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Who does this policy apply to?</w:t>
      </w:r>
    </w:p>
    <w:p w14:paraId="686AA882" w14:textId="77777777" w:rsidR="00676B7D" w:rsidRDefault="00676B7D">
      <w:pPr>
        <w:pStyle w:val="BodyA"/>
        <w:jc w:val="both"/>
        <w:rPr>
          <w:b/>
          <w:bCs/>
          <w:sz w:val="24"/>
          <w:szCs w:val="24"/>
          <w:lang w:val="en-US"/>
        </w:rPr>
      </w:pPr>
    </w:p>
    <w:p w14:paraId="5ECF6F93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This Policy applies to all </w:t>
      </w:r>
      <w:r>
        <w:rPr>
          <w:sz w:val="24"/>
          <w:szCs w:val="24"/>
          <w:u w:color="FF0000"/>
          <w:lang w:val="en-US"/>
        </w:rPr>
        <w:t xml:space="preserve">volunteers, employees and contractors </w:t>
      </w:r>
      <w:r>
        <w:rPr>
          <w:sz w:val="24"/>
          <w:szCs w:val="24"/>
          <w:lang w:val="en-US"/>
        </w:rPr>
        <w:t xml:space="preserve">and </w:t>
      </w:r>
      <w:proofErr w:type="gramStart"/>
      <w:r>
        <w:rPr>
          <w:sz w:val="24"/>
          <w:szCs w:val="24"/>
          <w:lang w:val="en-US"/>
        </w:rPr>
        <w:t>any one</w:t>
      </w:r>
      <w:proofErr w:type="gramEnd"/>
      <w:r>
        <w:rPr>
          <w:sz w:val="24"/>
          <w:szCs w:val="24"/>
          <w:lang w:val="en-US"/>
        </w:rPr>
        <w:t xml:space="preserve"> representing The Bradford Police Museum. It also applies to visitors who are also required to behave in a manner which does not cause offence to anyone else in the museum.</w:t>
      </w:r>
    </w:p>
    <w:p w14:paraId="56F83DE8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0C6BCF84" w14:textId="77777777" w:rsidR="00676B7D" w:rsidRDefault="00000000">
      <w:pPr>
        <w:pStyle w:val="Body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Definitions</w:t>
      </w:r>
    </w:p>
    <w:p w14:paraId="1F04B374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12651AF9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Personal Harassment</w:t>
      </w:r>
    </w:p>
    <w:p w14:paraId="4BC86DEA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632D9155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Conduct, which creates an intimidating, hostile, degrading, humiliating or offensive environment. Any act which has the effect, whether directly or indirectly, of offending a person, on the grounds of race, creed, gender, sexual orientation, marital status, disability, political belief, religion or age. This may take the form of any unsolicited or unwelcome hostile or offensive act; expression or derogatory statement, personal advances of an unwelcome nature or incitement to commit such </w:t>
      </w:r>
      <w:proofErr w:type="spellStart"/>
      <w:r>
        <w:rPr>
          <w:sz w:val="24"/>
          <w:szCs w:val="24"/>
          <w:lang w:val="en-US"/>
        </w:rPr>
        <w:t>behaviour</w:t>
      </w:r>
      <w:proofErr w:type="spellEnd"/>
      <w:r>
        <w:rPr>
          <w:sz w:val="24"/>
          <w:szCs w:val="24"/>
          <w:lang w:val="en-US"/>
        </w:rPr>
        <w:t xml:space="preserve">. </w:t>
      </w:r>
    </w:p>
    <w:p w14:paraId="662D5639" w14:textId="77777777" w:rsidR="00676B7D" w:rsidRDefault="00676B7D">
      <w:pPr>
        <w:pStyle w:val="BodyA"/>
        <w:jc w:val="both"/>
        <w:rPr>
          <w:sz w:val="24"/>
          <w:szCs w:val="24"/>
        </w:rPr>
      </w:pPr>
    </w:p>
    <w:p w14:paraId="7451BB92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It also includes comments etc. regarding a person or those with whom they associate.</w:t>
      </w:r>
    </w:p>
    <w:p w14:paraId="7E95BB55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5140B047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Religion</w:t>
      </w:r>
    </w:p>
    <w:p w14:paraId="39B76C22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4CBC341C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This includes all personal belief systems, including the belief that there is no God.</w:t>
      </w:r>
    </w:p>
    <w:p w14:paraId="6B27F541" w14:textId="77777777" w:rsidR="00676B7D" w:rsidRDefault="00676B7D">
      <w:pPr>
        <w:pStyle w:val="BodyA"/>
        <w:jc w:val="both"/>
        <w:rPr>
          <w:sz w:val="24"/>
          <w:szCs w:val="24"/>
        </w:rPr>
      </w:pPr>
    </w:p>
    <w:p w14:paraId="76F8ABB5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An Act</w:t>
      </w:r>
    </w:p>
    <w:p w14:paraId="3CE02A94" w14:textId="77777777" w:rsidR="00676B7D" w:rsidRDefault="00676B7D">
      <w:pPr>
        <w:pStyle w:val="BodyA"/>
        <w:jc w:val="both"/>
        <w:rPr>
          <w:sz w:val="24"/>
          <w:szCs w:val="24"/>
        </w:rPr>
      </w:pPr>
    </w:p>
    <w:p w14:paraId="7ECE31EC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An act includes one, which is intentional or unintentional. The perception of the victim is </w:t>
      </w:r>
      <w:proofErr w:type="gramStart"/>
      <w:r>
        <w:rPr>
          <w:sz w:val="24"/>
          <w:szCs w:val="24"/>
          <w:lang w:val="en-US"/>
        </w:rPr>
        <w:t>important</w:t>
      </w:r>
      <w:proofErr w:type="gramEnd"/>
      <w:r>
        <w:rPr>
          <w:sz w:val="24"/>
          <w:szCs w:val="24"/>
          <w:lang w:val="en-US"/>
        </w:rPr>
        <w:t xml:space="preserve"> and the act can be real or perceived.</w:t>
      </w:r>
    </w:p>
    <w:p w14:paraId="475E39D9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04DE1147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Examples</w:t>
      </w:r>
    </w:p>
    <w:p w14:paraId="5649834B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5D3EBE6B" w14:textId="77777777" w:rsidR="00676B7D" w:rsidRDefault="00000000">
      <w:pPr>
        <w:pStyle w:val="BodyA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Any words or actions, which create an unpleasant or intimidating environment.  </w:t>
      </w:r>
    </w:p>
    <w:p w14:paraId="4B1BF778" w14:textId="77777777" w:rsidR="00676B7D" w:rsidRDefault="00000000">
      <w:pPr>
        <w:pStyle w:val="BodyA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Any unwanted sexual comments, looks, actions, suggestions or physical contact </w:t>
      </w:r>
    </w:p>
    <w:p w14:paraId="0AF1A651" w14:textId="77777777" w:rsidR="00676B7D" w:rsidRDefault="00000000">
      <w:pPr>
        <w:pStyle w:val="BodyA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Presentation of material of an indecent or offensive nature </w:t>
      </w:r>
    </w:p>
    <w:p w14:paraId="73861E3B" w14:textId="77777777" w:rsidR="00676B7D" w:rsidRDefault="00000000">
      <w:pPr>
        <w:pStyle w:val="BodyA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Any unwelcome terms, comments, actions or </w:t>
      </w:r>
      <w:proofErr w:type="spellStart"/>
      <w:r>
        <w:rPr>
          <w:sz w:val="24"/>
          <w:szCs w:val="24"/>
          <w:lang w:val="en-US"/>
        </w:rPr>
        <w:t>behaviour</w:t>
      </w:r>
      <w:proofErr w:type="spellEnd"/>
      <w:r>
        <w:rPr>
          <w:sz w:val="24"/>
          <w:szCs w:val="24"/>
          <w:lang w:val="en-US"/>
        </w:rPr>
        <w:t>, which members of a racial, cultural or religious group find abusive, offensive or insulting.</w:t>
      </w:r>
    </w:p>
    <w:p w14:paraId="7B42AF19" w14:textId="77777777" w:rsidR="00676B7D" w:rsidRDefault="00000000">
      <w:pPr>
        <w:pStyle w:val="Body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 xml:space="preserve">Threatening or abusive racist </w:t>
      </w:r>
      <w:proofErr w:type="spellStart"/>
      <w:r>
        <w:rPr>
          <w:sz w:val="24"/>
          <w:szCs w:val="24"/>
          <w:lang w:val="en-US"/>
        </w:rPr>
        <w:t>behaviour</w:t>
      </w:r>
      <w:proofErr w:type="spellEnd"/>
      <w:r>
        <w:rPr>
          <w:sz w:val="24"/>
          <w:szCs w:val="24"/>
          <w:lang w:val="en-US"/>
        </w:rPr>
        <w:t>, emails, letters or telephone calls</w:t>
      </w:r>
    </w:p>
    <w:p w14:paraId="4844410D" w14:textId="77777777" w:rsidR="00676B7D" w:rsidRDefault="00000000">
      <w:pPr>
        <w:pStyle w:val="Body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>Offensive literature and graffiti</w:t>
      </w:r>
    </w:p>
    <w:p w14:paraId="7D806A02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426FCA35" w14:textId="77777777" w:rsidR="00676B7D" w:rsidRDefault="00000000">
      <w:pPr>
        <w:pStyle w:val="Body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Museum Director Responsibility</w:t>
      </w:r>
    </w:p>
    <w:p w14:paraId="55AD3A48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71A1ACA0" w14:textId="77777777" w:rsidR="00676B7D" w:rsidRDefault="00000000">
      <w:pPr>
        <w:pStyle w:val="BodyA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is the responsibility of the Director, and the Museum Board appointees to, as far as is practicable, ensure the museum is free from harassment or intimidation. </w:t>
      </w:r>
    </w:p>
    <w:p w14:paraId="62687979" w14:textId="77777777" w:rsidR="00676B7D" w:rsidRDefault="00000000">
      <w:pPr>
        <w:pStyle w:val="BodyA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take prompt action when becoming aware that any incidents involving such harassment have taken places.</w:t>
      </w:r>
    </w:p>
    <w:p w14:paraId="5D0900D4" w14:textId="77777777" w:rsidR="00676B7D" w:rsidRDefault="00000000">
      <w:pPr>
        <w:pStyle w:val="BodyA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ensure that all </w:t>
      </w:r>
      <w:r>
        <w:rPr>
          <w:sz w:val="24"/>
          <w:szCs w:val="24"/>
          <w:u w:color="FF0000"/>
          <w:lang w:val="en-US"/>
        </w:rPr>
        <w:t xml:space="preserve">volunteers, employees </w:t>
      </w:r>
      <w:r>
        <w:rPr>
          <w:sz w:val="24"/>
          <w:szCs w:val="24"/>
          <w:lang w:val="en-US"/>
        </w:rPr>
        <w:t xml:space="preserve">are made aware of this policy as part of their volunteer induction. </w:t>
      </w:r>
    </w:p>
    <w:p w14:paraId="3D71B81B" w14:textId="2E936621" w:rsidR="00676B7D" w:rsidRDefault="00000000">
      <w:pPr>
        <w:pStyle w:val="BodyA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report any incidents of harassment to the Management Board and to monitor the policy.</w:t>
      </w:r>
    </w:p>
    <w:p w14:paraId="4EB0BDA6" w14:textId="77777777" w:rsidR="00676B7D" w:rsidRDefault="00000000">
      <w:pPr>
        <w:pStyle w:val="BodyA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ensure that no-one is </w:t>
      </w:r>
      <w:proofErr w:type="spellStart"/>
      <w:r>
        <w:rPr>
          <w:sz w:val="24"/>
          <w:szCs w:val="24"/>
          <w:lang w:val="en-US"/>
        </w:rPr>
        <w:t>victimised</w:t>
      </w:r>
      <w:proofErr w:type="spellEnd"/>
      <w:r>
        <w:rPr>
          <w:sz w:val="24"/>
          <w:szCs w:val="24"/>
          <w:lang w:val="en-US"/>
        </w:rPr>
        <w:t xml:space="preserve"> because they have brought proceedings against an individual or the organisation on the grounds of discrimination; or given evidence in proceedings.</w:t>
      </w:r>
    </w:p>
    <w:p w14:paraId="6D685AF9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57770235" w14:textId="77777777" w:rsidR="00676B7D" w:rsidRDefault="00000000">
      <w:pPr>
        <w:pStyle w:val="Body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Responsibility of museum staff and volunteers</w:t>
      </w:r>
    </w:p>
    <w:p w14:paraId="0B9C9FEC" w14:textId="77777777" w:rsidR="00676B7D" w:rsidRDefault="00676B7D">
      <w:pPr>
        <w:pStyle w:val="BodyA"/>
        <w:jc w:val="both"/>
        <w:rPr>
          <w:b/>
          <w:bCs/>
          <w:sz w:val="24"/>
          <w:szCs w:val="24"/>
          <w:lang w:val="en-US"/>
        </w:rPr>
      </w:pPr>
    </w:p>
    <w:p w14:paraId="12AFCD18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All museum </w:t>
      </w:r>
      <w:r>
        <w:rPr>
          <w:sz w:val="24"/>
          <w:szCs w:val="24"/>
          <w:u w:color="FF0000"/>
          <w:lang w:val="en-US"/>
        </w:rPr>
        <w:t xml:space="preserve">volunteers, employees </w:t>
      </w:r>
      <w:r>
        <w:rPr>
          <w:sz w:val="24"/>
          <w:szCs w:val="24"/>
          <w:lang w:val="en-US"/>
        </w:rPr>
        <w:t xml:space="preserve">have a responsibility to ensure that they do not harass any other staff, client or users of the museum services, or their associates. They also have to duty to ensure that </w:t>
      </w:r>
      <w:r>
        <w:rPr>
          <w:sz w:val="24"/>
          <w:szCs w:val="24"/>
          <w:u w:color="FF0000"/>
          <w:lang w:val="en-US"/>
        </w:rPr>
        <w:t>clients, visitors, partner agencies and other users of our services</w:t>
      </w:r>
      <w:r>
        <w:rPr>
          <w:sz w:val="24"/>
          <w:szCs w:val="24"/>
          <w:lang w:val="en-US"/>
        </w:rPr>
        <w:t xml:space="preserve"> do not engage in harassment.  </w:t>
      </w:r>
    </w:p>
    <w:p w14:paraId="7D5BD992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All staff have responsibility to respond appropriately to incidents of harassment and to give </w:t>
      </w:r>
      <w:r>
        <w:rPr>
          <w:sz w:val="24"/>
          <w:szCs w:val="24"/>
          <w:u w:color="FF0000"/>
          <w:lang w:val="en-US"/>
        </w:rPr>
        <w:t>colleagues and museum visitors</w:t>
      </w:r>
      <w:r>
        <w:rPr>
          <w:sz w:val="24"/>
          <w:szCs w:val="24"/>
          <w:lang w:val="en-US"/>
        </w:rPr>
        <w:t xml:space="preserve"> the necessary support at the time of the offending </w:t>
      </w:r>
      <w:proofErr w:type="spellStart"/>
      <w:r>
        <w:rPr>
          <w:sz w:val="24"/>
          <w:szCs w:val="24"/>
          <w:lang w:val="en-US"/>
        </w:rPr>
        <w:t>behaviour</w:t>
      </w:r>
      <w:proofErr w:type="spellEnd"/>
      <w:r>
        <w:rPr>
          <w:sz w:val="24"/>
          <w:szCs w:val="24"/>
          <w:lang w:val="en-US"/>
        </w:rPr>
        <w:t>, and in making a complaint.</w:t>
      </w:r>
    </w:p>
    <w:p w14:paraId="47B6BDA9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u w:color="FF0000"/>
          <w:lang w:val="en-US"/>
        </w:rPr>
        <w:t>Volunteers, employees, and users of the museum</w:t>
      </w:r>
      <w:r>
        <w:rPr>
          <w:sz w:val="24"/>
          <w:szCs w:val="24"/>
          <w:lang w:val="en-US"/>
        </w:rPr>
        <w:t xml:space="preserve"> must have regard to the safety of other volunteers, </w:t>
      </w:r>
      <w:r>
        <w:rPr>
          <w:sz w:val="24"/>
          <w:szCs w:val="24"/>
          <w:u w:color="FF0000"/>
          <w:lang w:val="en-US"/>
        </w:rPr>
        <w:t>visitors,</w:t>
      </w:r>
      <w:r>
        <w:rPr>
          <w:sz w:val="24"/>
          <w:szCs w:val="24"/>
          <w:lang w:val="en-US"/>
        </w:rPr>
        <w:t xml:space="preserve"> and other users of the museum when dealing with incidents of harassment. </w:t>
      </w:r>
    </w:p>
    <w:p w14:paraId="4896CD8B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Not to </w:t>
      </w:r>
      <w:proofErr w:type="spellStart"/>
      <w:r>
        <w:rPr>
          <w:sz w:val="24"/>
          <w:szCs w:val="24"/>
          <w:lang w:val="en-US"/>
        </w:rPr>
        <w:t>victimise</w:t>
      </w:r>
      <w:proofErr w:type="spellEnd"/>
      <w:r>
        <w:rPr>
          <w:sz w:val="24"/>
          <w:szCs w:val="24"/>
          <w:lang w:val="en-US"/>
        </w:rPr>
        <w:t xml:space="preserve"> anyone because they have brought proceedings against an individual or the organisation on the grounds of discrimination; or given evidence in proceedings.</w:t>
      </w:r>
    </w:p>
    <w:p w14:paraId="5C581C78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3B4912AB" w14:textId="77777777" w:rsidR="00676B7D" w:rsidRDefault="00676B7D">
      <w:pPr>
        <w:pStyle w:val="BodyA"/>
        <w:jc w:val="both"/>
        <w:rPr>
          <w:b/>
          <w:bCs/>
          <w:sz w:val="24"/>
          <w:szCs w:val="24"/>
          <w:lang w:val="en-US"/>
        </w:rPr>
      </w:pPr>
    </w:p>
    <w:p w14:paraId="7D5DF33F" w14:textId="77777777" w:rsidR="00676B7D" w:rsidRDefault="00676B7D">
      <w:pPr>
        <w:pStyle w:val="BodyA"/>
        <w:jc w:val="both"/>
        <w:rPr>
          <w:b/>
          <w:bCs/>
          <w:sz w:val="24"/>
          <w:szCs w:val="24"/>
          <w:lang w:val="en-US"/>
        </w:rPr>
      </w:pPr>
    </w:p>
    <w:p w14:paraId="1849C2E2" w14:textId="77777777" w:rsidR="00676B7D" w:rsidRDefault="00676B7D">
      <w:pPr>
        <w:pStyle w:val="BodyA"/>
        <w:jc w:val="both"/>
        <w:rPr>
          <w:b/>
          <w:bCs/>
          <w:sz w:val="24"/>
          <w:szCs w:val="24"/>
          <w:lang w:val="en-US"/>
        </w:rPr>
      </w:pPr>
    </w:p>
    <w:p w14:paraId="60C6097A" w14:textId="77777777" w:rsidR="00676B7D" w:rsidRDefault="00000000">
      <w:pPr>
        <w:pStyle w:val="Body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Complaints Procedure</w:t>
      </w:r>
    </w:p>
    <w:p w14:paraId="2866820F" w14:textId="77777777" w:rsidR="00676B7D" w:rsidRDefault="00676B7D">
      <w:pPr>
        <w:pStyle w:val="BodyA"/>
        <w:jc w:val="both"/>
        <w:rPr>
          <w:b/>
          <w:bCs/>
          <w:sz w:val="24"/>
          <w:szCs w:val="24"/>
          <w:lang w:val="en-US"/>
        </w:rPr>
      </w:pPr>
    </w:p>
    <w:p w14:paraId="7F985323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u w:color="FF0000"/>
          <w:lang w:val="en-US"/>
        </w:rPr>
        <w:lastRenderedPageBreak/>
        <w:t>Volunteers, employees and users of the museum</w:t>
      </w:r>
      <w:r>
        <w:rPr>
          <w:sz w:val="24"/>
          <w:szCs w:val="24"/>
          <w:lang w:val="en-US"/>
        </w:rPr>
        <w:t xml:space="preserve"> who feel that an informal complaint of harassment has not been adequately dealt with should use the Grievance or Complaints procedure.</w:t>
      </w:r>
    </w:p>
    <w:p w14:paraId="11BA4FD1" w14:textId="77777777" w:rsidR="00676B7D" w:rsidRDefault="00676B7D">
      <w:pPr>
        <w:pStyle w:val="BodyA"/>
        <w:jc w:val="both"/>
        <w:rPr>
          <w:sz w:val="20"/>
          <w:szCs w:val="20"/>
        </w:rPr>
      </w:pPr>
    </w:p>
    <w:p w14:paraId="3394C032" w14:textId="27400284" w:rsidR="00676B7D" w:rsidRPr="00971055" w:rsidRDefault="00000000">
      <w:pPr>
        <w:pStyle w:val="BodyA"/>
        <w:jc w:val="both"/>
        <w:rPr>
          <w:color w:val="auto"/>
          <w:sz w:val="24"/>
          <w:szCs w:val="24"/>
        </w:rPr>
      </w:pPr>
      <w:r w:rsidRPr="00971055">
        <w:rPr>
          <w:color w:val="auto"/>
          <w:sz w:val="24"/>
          <w:szCs w:val="24"/>
          <w:lang w:val="en-US"/>
        </w:rPr>
        <w:t>The most appropriate person to deal with complaints will be the Team Leader. If this person is the alleged harasser, then the Museum Director should</w:t>
      </w:r>
      <w:r w:rsidR="00971055" w:rsidRPr="00971055">
        <w:rPr>
          <w:color w:val="auto"/>
          <w:sz w:val="24"/>
          <w:szCs w:val="24"/>
          <w:lang w:val="en-US"/>
        </w:rPr>
        <w:t xml:space="preserve"> </w:t>
      </w:r>
      <w:r w:rsidRPr="00971055">
        <w:rPr>
          <w:color w:val="auto"/>
          <w:sz w:val="24"/>
          <w:szCs w:val="24"/>
          <w:lang w:val="en-US"/>
        </w:rPr>
        <w:t xml:space="preserve">investigate.  If the alleged harasser is the </w:t>
      </w:r>
      <w:proofErr w:type="gramStart"/>
      <w:r w:rsidRPr="00971055">
        <w:rPr>
          <w:color w:val="auto"/>
          <w:sz w:val="24"/>
          <w:szCs w:val="24"/>
          <w:lang w:val="en-US"/>
        </w:rPr>
        <w:t>Director</w:t>
      </w:r>
      <w:proofErr w:type="gramEnd"/>
      <w:r w:rsidRPr="00971055">
        <w:rPr>
          <w:color w:val="auto"/>
          <w:sz w:val="24"/>
          <w:szCs w:val="24"/>
          <w:lang w:val="en-US"/>
        </w:rPr>
        <w:t xml:space="preserve"> then the Chair of the Management Board or their appointee, should investigate.</w:t>
      </w:r>
    </w:p>
    <w:p w14:paraId="6C9E0BA3" w14:textId="77777777" w:rsidR="00676B7D" w:rsidRPr="00971055" w:rsidRDefault="00676B7D">
      <w:pPr>
        <w:pStyle w:val="BodyA"/>
        <w:jc w:val="both"/>
        <w:rPr>
          <w:color w:val="auto"/>
          <w:sz w:val="24"/>
          <w:szCs w:val="24"/>
          <w:lang w:val="en-US"/>
        </w:rPr>
      </w:pPr>
    </w:p>
    <w:p w14:paraId="06316561" w14:textId="77777777" w:rsidR="00676B7D" w:rsidRDefault="00000000">
      <w:pPr>
        <w:pStyle w:val="Body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Resolution</w:t>
      </w:r>
    </w:p>
    <w:p w14:paraId="300AE2C7" w14:textId="77777777" w:rsidR="00676B7D" w:rsidRDefault="00676B7D">
      <w:pPr>
        <w:pStyle w:val="BodyA"/>
        <w:jc w:val="both"/>
        <w:rPr>
          <w:b/>
          <w:bCs/>
          <w:sz w:val="24"/>
          <w:szCs w:val="24"/>
          <w:lang w:val="en-US"/>
        </w:rPr>
      </w:pPr>
    </w:p>
    <w:p w14:paraId="2CAAAA09" w14:textId="77777777" w:rsidR="00676B7D" w:rsidRDefault="00000000">
      <w:pPr>
        <w:pStyle w:val="BodyA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Any incidents of harassment, or victimisation will be taken seriously and can be grounds for disciplinary action, which may include dismissal.  </w:t>
      </w:r>
      <w:r>
        <w:rPr>
          <w:sz w:val="24"/>
          <w:szCs w:val="24"/>
          <w:u w:color="FF0000"/>
          <w:lang w:val="en-US"/>
        </w:rPr>
        <w:t>For service users or visitors</w:t>
      </w:r>
      <w:r>
        <w:rPr>
          <w:color w:val="FF0000"/>
          <w:sz w:val="24"/>
          <w:szCs w:val="24"/>
          <w:u w:color="FF0000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this may include exclusion from </w:t>
      </w:r>
      <w:r>
        <w:rPr>
          <w:sz w:val="24"/>
          <w:szCs w:val="24"/>
          <w:u w:color="FF0000"/>
          <w:lang w:val="en-US"/>
        </w:rPr>
        <w:t>the museum.</w:t>
      </w:r>
      <w:r>
        <w:rPr>
          <w:sz w:val="20"/>
          <w:szCs w:val="20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Any resolution will seek to be proportionate and reasonable. </w:t>
      </w:r>
    </w:p>
    <w:p w14:paraId="2A49E886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706A1A91" w14:textId="77777777" w:rsidR="00676B7D" w:rsidRDefault="00676B7D">
      <w:pPr>
        <w:pStyle w:val="BodyA"/>
        <w:jc w:val="both"/>
        <w:rPr>
          <w:sz w:val="24"/>
          <w:szCs w:val="24"/>
          <w:lang w:val="en-US"/>
        </w:rPr>
      </w:pPr>
    </w:p>
    <w:p w14:paraId="318A2E3A" w14:textId="77777777" w:rsidR="00676B7D" w:rsidRDefault="00000000">
      <w:pPr>
        <w:pStyle w:val="BodyA"/>
        <w:jc w:val="center"/>
      </w:pPr>
      <w:r>
        <w:rPr>
          <w:sz w:val="24"/>
          <w:szCs w:val="24"/>
          <w:lang w:val="en-US"/>
        </w:rPr>
        <w:t>END</w:t>
      </w:r>
    </w:p>
    <w:sectPr w:rsidR="00676B7D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7A27" w14:textId="77777777" w:rsidR="00613EC9" w:rsidRDefault="00613EC9">
      <w:r>
        <w:separator/>
      </w:r>
    </w:p>
  </w:endnote>
  <w:endnote w:type="continuationSeparator" w:id="0">
    <w:p w14:paraId="74C5206B" w14:textId="77777777" w:rsidR="00613EC9" w:rsidRDefault="0061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7297" w14:textId="77777777" w:rsidR="00676B7D" w:rsidRDefault="00000000">
    <w:pPr>
      <w:pStyle w:val="HeaderFooter"/>
      <w:tabs>
        <w:tab w:val="clear" w:pos="9020"/>
        <w:tab w:val="center" w:pos="4819"/>
        <w:tab w:val="right" w:pos="9612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971055">
      <w:rPr>
        <w:noProof/>
      </w:rPr>
      <w:t>1</w:t>
    </w:r>
    <w:r>
      <w:fldChar w:fldCharType="end"/>
    </w:r>
    <w:r>
      <w:rPr>
        <w:lang w:val="en-US"/>
      </w:rPr>
      <w:t xml:space="preserve"> of </w:t>
    </w:r>
    <w:fldSimple w:instr=" NUMPAGES ">
      <w:r w:rsidR="0097105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3FAF1" w14:textId="77777777" w:rsidR="00613EC9" w:rsidRDefault="00613EC9">
      <w:r>
        <w:separator/>
      </w:r>
    </w:p>
  </w:footnote>
  <w:footnote w:type="continuationSeparator" w:id="0">
    <w:p w14:paraId="77372E7A" w14:textId="77777777" w:rsidR="00613EC9" w:rsidRDefault="0061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D735" w14:textId="77777777" w:rsidR="00676B7D" w:rsidRDefault="00676B7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15BDA"/>
    <w:multiLevelType w:val="hybridMultilevel"/>
    <w:tmpl w:val="E8F47576"/>
    <w:numStyleLink w:val="ImportedStyle1"/>
  </w:abstractNum>
  <w:abstractNum w:abstractNumId="1" w15:restartNumberingAfterBreak="0">
    <w:nsid w:val="620D4EC7"/>
    <w:multiLevelType w:val="hybridMultilevel"/>
    <w:tmpl w:val="E8F47576"/>
    <w:styleLink w:val="ImportedStyle1"/>
    <w:lvl w:ilvl="0" w:tplc="CE24EE78">
      <w:start w:val="1"/>
      <w:numFmt w:val="bullet"/>
      <w:lvlText w:val="•"/>
      <w:lvlJc w:val="left"/>
      <w:pPr>
        <w:ind w:left="3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30C09C">
      <w:start w:val="1"/>
      <w:numFmt w:val="bullet"/>
      <w:lvlText w:val="•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56C956">
      <w:start w:val="1"/>
      <w:numFmt w:val="bullet"/>
      <w:lvlText w:val="•"/>
      <w:lvlJc w:val="left"/>
      <w:pPr>
        <w:ind w:left="18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22F6A">
      <w:start w:val="1"/>
      <w:numFmt w:val="bullet"/>
      <w:lvlText w:val="•"/>
      <w:lvlJc w:val="left"/>
      <w:pPr>
        <w:ind w:left="252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20EFFA">
      <w:start w:val="1"/>
      <w:numFmt w:val="bullet"/>
      <w:lvlText w:val="•"/>
      <w:lvlJc w:val="left"/>
      <w:pPr>
        <w:ind w:left="32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809B30">
      <w:start w:val="1"/>
      <w:numFmt w:val="bullet"/>
      <w:lvlText w:val="•"/>
      <w:lvlJc w:val="left"/>
      <w:pPr>
        <w:ind w:left="39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FE1A3E">
      <w:start w:val="1"/>
      <w:numFmt w:val="bullet"/>
      <w:lvlText w:val="•"/>
      <w:lvlJc w:val="left"/>
      <w:pPr>
        <w:ind w:left="46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92A652">
      <w:start w:val="1"/>
      <w:numFmt w:val="bullet"/>
      <w:lvlText w:val="•"/>
      <w:lvlJc w:val="left"/>
      <w:pPr>
        <w:ind w:left="54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240C1A">
      <w:start w:val="1"/>
      <w:numFmt w:val="bullet"/>
      <w:lvlText w:val="•"/>
      <w:lvlJc w:val="left"/>
      <w:pPr>
        <w:ind w:left="612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19480602">
    <w:abstractNumId w:val="1"/>
  </w:num>
  <w:num w:numId="2" w16cid:durableId="1344283102">
    <w:abstractNumId w:val="0"/>
  </w:num>
  <w:num w:numId="3" w16cid:durableId="937277">
    <w:abstractNumId w:val="0"/>
    <w:lvlOverride w:ilvl="0">
      <w:lvl w:ilvl="0" w:tplc="6BF28E66">
        <w:start w:val="1"/>
        <w:numFmt w:val="bullet"/>
        <w:lvlText w:val="•"/>
        <w:lvlJc w:val="left"/>
        <w:pPr>
          <w:ind w:left="300" w:hanging="3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5CB992">
        <w:start w:val="1"/>
        <w:numFmt w:val="bullet"/>
        <w:lvlText w:val="•"/>
        <w:lvlJc w:val="left"/>
        <w:pPr>
          <w:ind w:left="1020" w:hanging="3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8CA4E0">
        <w:start w:val="1"/>
        <w:numFmt w:val="bullet"/>
        <w:lvlText w:val="•"/>
        <w:lvlJc w:val="left"/>
        <w:pPr>
          <w:ind w:left="1740" w:hanging="3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F69E3A">
        <w:start w:val="1"/>
        <w:numFmt w:val="bullet"/>
        <w:lvlText w:val="•"/>
        <w:lvlJc w:val="left"/>
        <w:pPr>
          <w:ind w:left="2460" w:hanging="3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243012">
        <w:start w:val="1"/>
        <w:numFmt w:val="bullet"/>
        <w:lvlText w:val="•"/>
        <w:lvlJc w:val="left"/>
        <w:pPr>
          <w:ind w:left="3180" w:hanging="3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C645B8">
        <w:start w:val="1"/>
        <w:numFmt w:val="bullet"/>
        <w:lvlText w:val="•"/>
        <w:lvlJc w:val="left"/>
        <w:pPr>
          <w:ind w:left="3900" w:hanging="3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7E2362">
        <w:start w:val="1"/>
        <w:numFmt w:val="bullet"/>
        <w:lvlText w:val="•"/>
        <w:lvlJc w:val="left"/>
        <w:pPr>
          <w:ind w:left="4620" w:hanging="3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EA3860">
        <w:start w:val="1"/>
        <w:numFmt w:val="bullet"/>
        <w:lvlText w:val="•"/>
        <w:lvlJc w:val="left"/>
        <w:pPr>
          <w:ind w:left="5340" w:hanging="3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449118">
        <w:start w:val="1"/>
        <w:numFmt w:val="bullet"/>
        <w:lvlText w:val="•"/>
        <w:lvlJc w:val="left"/>
        <w:pPr>
          <w:ind w:left="6060" w:hanging="3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7D"/>
    <w:rsid w:val="00613EC9"/>
    <w:rsid w:val="00676B7D"/>
    <w:rsid w:val="009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3FD54"/>
  <w15:docId w15:val="{54FBBE62-14CA-49B8-BB49-C5193FA4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Baines</cp:lastModifiedBy>
  <cp:revision>3</cp:revision>
  <dcterms:created xsi:type="dcterms:W3CDTF">2023-12-15T11:30:00Z</dcterms:created>
  <dcterms:modified xsi:type="dcterms:W3CDTF">2023-12-15T11:34:00Z</dcterms:modified>
</cp:coreProperties>
</file>